
<file path=[Content_Types].xml><?xml version="1.0" encoding="utf-8"?>
<Types xmlns="http://schemas.openxmlformats.org/package/2006/content-types">
  <Override PartName="/word/media/image1.png" ContentType="image/png"/>
  <Override PartName="/word/fontTable.xml" ContentType="application/vnd.openxmlformats-officedocument.wordprocessingml.fontTable+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both"/>
      </w:pPr>
      <w:r>
        <w:rPr/>
      </w:r>
    </w:p>
    <w:p>
      <w:pPr>
        <w:pStyle w:val="style0"/>
        <w:jc w:val="both"/>
      </w:pPr>
      <w:r>
        <w:rPr/>
      </w:r>
    </w:p>
    <w:p>
      <w:pPr>
        <w:pStyle w:val="style0"/>
        <w:jc w:val="both"/>
      </w:pPr>
      <w:r>
        <w:rPr/>
      </w:r>
    </w:p>
    <w:p>
      <w:pPr>
        <w:pStyle w:val="style0"/>
        <w:jc w:val="both"/>
      </w:pPr>
      <w:r>
        <w:rPr/>
      </w:r>
    </w:p>
    <w:p>
      <w:pPr>
        <w:pStyle w:val="style0"/>
        <w:jc w:val="both"/>
      </w:pPr>
      <w:r>
        <w:rPr/>
      </w:r>
    </w:p>
    <w:p>
      <w:pPr>
        <w:pStyle w:val="style0"/>
        <w:jc w:val="both"/>
      </w:pPr>
      <w:r>
        <w:rPr/>
      </w:r>
    </w:p>
    <w:p>
      <w:pPr>
        <w:pStyle w:val="style0"/>
        <w:jc w:val="both"/>
      </w:pPr>
      <w:r>
        <w:rPr/>
      </w:r>
    </w:p>
    <w:p>
      <w:pPr>
        <w:pStyle w:val="style0"/>
        <w:jc w:val="center"/>
      </w:pPr>
      <w:r>
        <w:rPr>
          <w:b/>
          <w:rFonts w:cs="Arial"/>
        </w:rPr>
        <w:t>VICERRECTORRÍA DE INVESTIGACIÓN Y PROYECCIÓN SOCIAL</w:t>
      </w:r>
    </w:p>
    <w:p>
      <w:pPr>
        <w:pStyle w:val="style0"/>
        <w:jc w:val="center"/>
      </w:pPr>
      <w:r>
        <w:rPr/>
      </w:r>
    </w:p>
    <w:p>
      <w:pPr>
        <w:pStyle w:val="style0"/>
        <w:jc w:val="center"/>
        <w:tabs>
          <w:tab w:leader="none" w:pos="708" w:val="left"/>
          <w:tab w:leader="none" w:pos="1105" w:val="left"/>
        </w:tabs>
      </w:pPr>
      <w:r>
        <w:rPr>
          <w:b/>
          <w:bCs/>
        </w:rPr>
        <w:t>COMUNICADO 001</w:t>
      </w:r>
    </w:p>
    <w:p>
      <w:pPr>
        <w:pStyle w:val="style0"/>
        <w:jc w:val="both"/>
      </w:pPr>
      <w:r>
        <w:rPr/>
      </w:r>
    </w:p>
    <w:p>
      <w:pPr>
        <w:pStyle w:val="style0"/>
        <w:jc w:val="both"/>
      </w:pPr>
      <w:r>
        <w:rPr/>
        <w:t xml:space="preserve"> </w:t>
      </w:r>
    </w:p>
    <w:p>
      <w:pPr>
        <w:pStyle w:val="style0"/>
        <w:jc w:val="both"/>
      </w:pPr>
      <w:r>
        <w:rPr>
          <w:sz w:val="20"/>
          <w:szCs w:val="20"/>
        </w:rPr>
        <w:t>FECHA:      ENERO 23 DE  2011</w:t>
      </w:r>
    </w:p>
    <w:p>
      <w:pPr>
        <w:pStyle w:val="style0"/>
        <w:jc w:val="both"/>
      </w:pPr>
      <w:r>
        <w:rPr/>
      </w:r>
    </w:p>
    <w:p>
      <w:pPr>
        <w:pStyle w:val="style0"/>
        <w:jc w:val="both"/>
        <w:tabs>
          <w:tab w:leader="none" w:pos="2832" w:val="left"/>
          <w:tab w:leader="none" w:pos="4956" w:val="left"/>
          <w:tab w:leader="none" w:pos="7080" w:val="left"/>
          <w:tab w:leader="none" w:pos="9204" w:val="left"/>
          <w:tab w:leader="none" w:pos="11328" w:val="left"/>
          <w:tab w:leader="none" w:pos="13452" w:val="left"/>
          <w:tab w:leader="none" w:pos="14868" w:val="left"/>
          <w:tab w:leader="none" w:pos="15576" w:val="left"/>
          <w:tab w:leader="none" w:pos="15789" w:val="left"/>
          <w:tab w:leader="none" w:pos="15829" w:val="left"/>
          <w:tab w:leader="none" w:pos="15894" w:val="left"/>
        </w:tabs>
        <w:ind w:hanging="2124" w:left="2124" w:right="0"/>
      </w:pPr>
      <w:r>
        <w:rPr>
          <w:sz w:val="20"/>
          <w:szCs w:val="20"/>
        </w:rPr>
        <w:t xml:space="preserve">PARA:        COORDINADORES DE INVESTIGACIÓN Y PROYECCIÓN SOCIAL DE  FACULTADES,                   </w:t>
      </w:r>
    </w:p>
    <w:p>
      <w:pPr>
        <w:pStyle w:val="style0"/>
        <w:jc w:val="both"/>
        <w:tabs>
          <w:tab w:leader="none" w:pos="2832" w:val="left"/>
          <w:tab w:leader="none" w:pos="4956" w:val="left"/>
          <w:tab w:leader="none" w:pos="7080" w:val="left"/>
          <w:tab w:leader="none" w:pos="9204" w:val="left"/>
          <w:tab w:leader="none" w:pos="11328" w:val="left"/>
          <w:tab w:leader="none" w:pos="13452" w:val="left"/>
          <w:tab w:leader="none" w:pos="14868" w:val="left"/>
          <w:tab w:leader="none" w:pos="15576" w:val="left"/>
          <w:tab w:leader="none" w:pos="15789" w:val="left"/>
          <w:tab w:leader="none" w:pos="15829" w:val="left"/>
          <w:tab w:leader="none" w:pos="15894" w:val="left"/>
        </w:tabs>
        <w:ind w:hanging="2124" w:left="2124" w:right="0"/>
      </w:pPr>
      <w:r>
        <w:rPr>
          <w:sz w:val="20"/>
          <w:szCs w:val="20"/>
        </w:rPr>
        <w:t xml:space="preserve">                    </w:t>
      </w:r>
      <w:r>
        <w:rPr>
          <w:sz w:val="20"/>
          <w:szCs w:val="20"/>
        </w:rPr>
        <w:t>DIRECTORES DE GRUPO DE INVESTIGACIÓN Y COORDINADORES DE</w:t>
      </w:r>
    </w:p>
    <w:p>
      <w:pPr>
        <w:pStyle w:val="style0"/>
        <w:jc w:val="both"/>
        <w:ind w:hanging="2124" w:left="2124" w:right="0"/>
      </w:pPr>
      <w:r>
        <w:rPr>
          <w:sz w:val="20"/>
          <w:szCs w:val="20"/>
        </w:rPr>
        <w:t xml:space="preserve">                    </w:t>
      </w:r>
      <w:r>
        <w:rPr>
          <w:sz w:val="20"/>
          <w:szCs w:val="20"/>
        </w:rPr>
        <w:t>PROYECTOS DE MENOR CUANTÍA – AÑO 2012</w:t>
      </w:r>
    </w:p>
    <w:p>
      <w:pPr>
        <w:pStyle w:val="style0"/>
        <w:jc w:val="both"/>
        <w:ind w:hanging="2124" w:left="2124" w:right="0"/>
      </w:pPr>
      <w:bookmarkStart w:id="0" w:name="__DdeLink__242_2102907718"/>
      <w:bookmarkEnd w:id="0"/>
      <w:r>
        <w:rPr>
          <w:sz w:val="20"/>
          <w:szCs w:val="20"/>
        </w:rPr>
        <w:t>DE:</w:t>
        <w:tab/>
        <w:t xml:space="preserve">      VICERRECTORÍA DE INVESTIGACIÓN Y DE  PROYECCIÓN SOCIAL</w:t>
      </w:r>
    </w:p>
    <w:p>
      <w:pPr>
        <w:pStyle w:val="style0"/>
        <w:jc w:val="both"/>
        <w:ind w:hanging="2124" w:left="2124" w:right="0"/>
      </w:pPr>
      <w:r>
        <w:rPr/>
      </w:r>
    </w:p>
    <w:p>
      <w:pPr>
        <w:pStyle w:val="style0"/>
        <w:jc w:val="both"/>
        <w:ind w:hanging="2124" w:left="2124" w:right="0"/>
      </w:pPr>
      <w:r>
        <w:rPr>
          <w:sz w:val="20"/>
          <w:b w:val="off"/>
          <w:szCs w:val="20"/>
          <w:bCs w:val="off"/>
        </w:rPr>
        <w:t>ASUNTO:</w:t>
      </w:r>
      <w:r>
        <w:rPr>
          <w:sz w:val="20"/>
          <w:b/>
          <w:szCs w:val="20"/>
          <w:bCs/>
        </w:rPr>
        <w:t xml:space="preserve">  REQUERIMIENTOS PARA LA EJECUCIÓN PRESUPUESTAL DE PROYECTOS DE</w:t>
      </w:r>
    </w:p>
    <w:p>
      <w:pPr>
        <w:pStyle w:val="style0"/>
        <w:jc w:val="both"/>
        <w:ind w:hanging="2124" w:left="2124" w:right="0"/>
      </w:pPr>
      <w:r>
        <w:rPr>
          <w:sz w:val="20"/>
          <w:b/>
          <w:szCs w:val="20"/>
          <w:bCs/>
        </w:rPr>
        <w:t xml:space="preserve">                   </w:t>
      </w:r>
      <w:r>
        <w:rPr>
          <w:sz w:val="20"/>
          <w:b/>
          <w:szCs w:val="20"/>
          <w:bCs/>
        </w:rPr>
        <w:t>MENOR CUANTÍA, CONVENIOS Y OTROS DE INVESTIGACIÓN Y PROYECCIÓN SOCIAL</w:t>
      </w:r>
    </w:p>
    <w:p>
      <w:pPr>
        <w:pStyle w:val="style0"/>
        <w:jc w:val="both"/>
        <w:ind w:hanging="2124" w:left="2124" w:right="0"/>
      </w:pPr>
      <w:r>
        <w:rPr>
          <w:sz w:val="20"/>
          <w:b/>
          <w:szCs w:val="20"/>
          <w:bCs/>
        </w:rPr>
        <w:t xml:space="preserve">                   – </w:t>
      </w:r>
      <w:r>
        <w:rPr>
          <w:sz w:val="20"/>
          <w:b/>
          <w:szCs w:val="20"/>
          <w:bCs/>
        </w:rPr>
        <w:t>AÑO 2012.</w:t>
      </w:r>
    </w:p>
    <w:p>
      <w:pPr>
        <w:pStyle w:val="style0"/>
        <w:jc w:val="both"/>
        <w:ind w:hanging="2124" w:left="2124" w:right="0"/>
      </w:pPr>
      <w:r>
        <w:rPr/>
      </w:r>
    </w:p>
    <w:p>
      <w:pPr>
        <w:pStyle w:val="style0"/>
        <w:jc w:val="both"/>
      </w:pPr>
      <w:r>
        <w:rPr>
          <w:sz w:val="22"/>
          <w:szCs w:val="22"/>
        </w:rPr>
        <w:t xml:space="preserve">Luego de expresar a cada uno de Ustedes mis mejores deseos y éxitos en las labores propias de la investigación y la proyección social de este año,  comedidamente me permito informarlos de algunos requerimientos en la ejecución de recursos relacionados con la investigación y la proyección social de esta Universidad, para que sean tenidos en cuenta en el momento de presentar  solicitudes, incluidas las relacionadas con la consolidación de grupos de investigación. </w:t>
      </w:r>
    </w:p>
    <w:p>
      <w:pPr>
        <w:pStyle w:val="style0"/>
        <w:jc w:val="both"/>
      </w:pPr>
      <w:r>
        <w:rPr/>
      </w:r>
    </w:p>
    <w:p>
      <w:pPr>
        <w:pStyle w:val="style0"/>
        <w:numPr>
          <w:ilvl w:val="0"/>
          <w:numId w:val="1"/>
        </w:numPr>
        <w:jc w:val="both"/>
      </w:pPr>
      <w:r>
        <w:rPr>
          <w:sz w:val="22"/>
          <w:szCs w:val="22"/>
        </w:rPr>
        <w:t>El tiempo de ejecución presupuestal quedará abierto entre el primero de febrero y treinta de noviembre de este año, para lo cual deben ajustar el presupuesto de los proyectos de menor cuantía aprobados para el 2012 a un monto máximo de $17.000.000,oo para los proyectos de grupos reconocidos y $11.330.000,oo para los proyectos de grupos registrados en Colciencias y en proceso de clasificación, de conformidad con lo establecido en el Estatuto de Investigación (Artículo 24, Parágrafo 3).</w:t>
      </w:r>
    </w:p>
    <w:p>
      <w:pPr>
        <w:pStyle w:val="style0"/>
        <w:jc w:val="both"/>
      </w:pPr>
      <w:r>
        <w:rPr/>
      </w:r>
    </w:p>
    <w:p>
      <w:pPr>
        <w:pStyle w:val="style0"/>
        <w:numPr>
          <w:ilvl w:val="0"/>
          <w:numId w:val="1"/>
        </w:numPr>
        <w:jc w:val="both"/>
      </w:pPr>
      <w:r>
        <w:rPr>
          <w:sz w:val="22"/>
          <w:szCs w:val="22"/>
        </w:rPr>
        <w:t>Las solicitudes de ejecución deben presentarse en original impreso y con copia  una vez firmada el acta de compromiso por el investigador principal o coordinador.  Ver anexo en la Web Institucional.</w:t>
      </w:r>
    </w:p>
    <w:p>
      <w:pPr>
        <w:pStyle w:val="style0"/>
        <w:jc w:val="both"/>
      </w:pPr>
      <w:r>
        <w:rPr/>
      </w:r>
    </w:p>
    <w:p>
      <w:pPr>
        <w:pStyle w:val="style0"/>
        <w:jc w:val="both"/>
      </w:pPr>
      <w:r>
        <w:rPr>
          <w:sz w:val="22"/>
          <w:szCs w:val="22"/>
        </w:rPr>
        <w:t>Solamente se autorizará lo programado en el  proyecto aprobado y no se admitirán ni tramitarán  solicitudes de investigación o proyección social para sufragar gastos de apoyo logístico, como   refrigerios y/o restaurante.  En la medida de lo posible, debe cumplirse la ejecución del presupuesto proyectado. En caso de fuerza mayor, deberá solicitarse el cambio con la justificación del caso, lo cual será considerado y autorizado por esta Vicerrectoría ó COCEIN.</w:t>
      </w:r>
    </w:p>
    <w:p>
      <w:pPr>
        <w:pStyle w:val="style0"/>
        <w:jc w:val="both"/>
      </w:pPr>
      <w:r>
        <w:rPr/>
      </w:r>
    </w:p>
    <w:p>
      <w:pPr>
        <w:pStyle w:val="style0"/>
        <w:numPr>
          <w:ilvl w:val="0"/>
          <w:numId w:val="1"/>
        </w:numPr>
        <w:jc w:val="both"/>
      </w:pPr>
      <w:r>
        <w:rPr>
          <w:sz w:val="22"/>
          <w:szCs w:val="22"/>
        </w:rPr>
        <w:t>Las solicitudes de papelería, tonner, equipos de cómputo, fotocopias  y otros se deben presentar indicando detalles sobre cantidad y aspectos técnicos. Sobre  bibliografía, adjuntar 2 o más cotizaciones.</w:t>
      </w:r>
    </w:p>
    <w:p>
      <w:pPr>
        <w:pStyle w:val="style0"/>
        <w:jc w:val="both"/>
      </w:pPr>
      <w:r>
        <w:rPr/>
      </w:r>
    </w:p>
    <w:p>
      <w:pPr>
        <w:pStyle w:val="style0"/>
        <w:jc w:val="both"/>
      </w:pPr>
      <w:r>
        <w:rPr>
          <w:sz w:val="22"/>
          <w:szCs w:val="22"/>
        </w:rPr>
        <w:t>La anterior información se recibirá hasta  el veinte  de febrero, fecha en la cual se consolidará y se procederá al correspondiente proceso de compra por Invitación Pública ó Contratación Directa.</w:t>
      </w:r>
    </w:p>
    <w:p>
      <w:pPr>
        <w:pStyle w:val="style0"/>
        <w:jc w:val="both"/>
      </w:pPr>
      <w:r>
        <w:rPr/>
      </w:r>
    </w:p>
    <w:p>
      <w:pPr>
        <w:pStyle w:val="style0"/>
        <w:numPr>
          <w:ilvl w:val="0"/>
          <w:numId w:val="1"/>
        </w:numPr>
        <w:jc w:val="both"/>
      </w:pPr>
      <w:r>
        <w:rPr>
          <w:sz w:val="22"/>
          <w:szCs w:val="22"/>
        </w:rPr>
        <w:t xml:space="preserve">Las solicitudes sobre contratación de estudiantes para los proyectos de de menor cuantía, se recibirán  hasta el  20 de febrero, con el RUT y la fotocopia de la cédula de ciudadanía, certificado de antecedentes de Contraloría y Procuraduria, para proceder a elaborar la resolución.  Esta solicitud debe especificar el nombre del estudiante, número de identificación, número de horas por mes, duración y forma de pago.  El valor de la hora se fijará tomando como referencia el Acuerdo 022 del 26 de abril de 2006.  En la Web Institucional, se encuentra el instructivo para la ejecución presupuestal de los proyectos de investigación y de proyección social; así como, el acta de compromiso para su diligenciamiento en el formato de calidad INV-FO-01.   </w:t>
      </w:r>
    </w:p>
    <w:p>
      <w:pPr>
        <w:pStyle w:val="style0"/>
        <w:jc w:val="both"/>
      </w:pPr>
      <w:r>
        <w:rPr/>
      </w:r>
    </w:p>
    <w:p>
      <w:pPr>
        <w:pStyle w:val="style0"/>
        <w:jc w:val="both"/>
      </w:pPr>
      <w:r>
        <w:rPr/>
      </w:r>
    </w:p>
    <w:p>
      <w:pPr>
        <w:pStyle w:val="style0"/>
        <w:jc w:val="both"/>
      </w:pPr>
      <w:r>
        <w:rPr/>
      </w:r>
    </w:p>
    <w:p>
      <w:pPr>
        <w:pStyle w:val="style0"/>
        <w:jc w:val="both"/>
      </w:pPr>
      <w:r>
        <w:rPr/>
      </w:r>
    </w:p>
    <w:p>
      <w:pPr>
        <w:pStyle w:val="style0"/>
        <w:jc w:val="both"/>
      </w:pPr>
      <w:r>
        <w:rPr/>
      </w:r>
    </w:p>
    <w:p>
      <w:pPr>
        <w:pStyle w:val="style0"/>
        <w:jc w:val="both"/>
      </w:pPr>
      <w:r>
        <w:rPr/>
      </w:r>
    </w:p>
    <w:p>
      <w:pPr>
        <w:pStyle w:val="style0"/>
        <w:jc w:val="both"/>
      </w:pPr>
      <w:r>
        <w:rPr/>
      </w:r>
    </w:p>
    <w:p>
      <w:pPr>
        <w:pStyle w:val="style0"/>
        <w:jc w:val="both"/>
      </w:pPr>
      <w:r>
        <w:rPr/>
      </w:r>
    </w:p>
    <w:p>
      <w:pPr>
        <w:pStyle w:val="style0"/>
        <w:jc w:val="both"/>
      </w:pPr>
      <w:r>
        <w:rPr>
          <w:sz w:val="16"/>
          <w:b w:val="off"/>
          <w:szCs w:val="16"/>
          <w:bCs w:val="off"/>
        </w:rPr>
        <w:t>Continuación p.2.  Comunicado 01 de enero 23 de 2012 para Coordinadores de Investigación y Proyección  Social de las Facultades, Directores de</w:t>
      </w:r>
    </w:p>
    <w:p>
      <w:pPr>
        <w:pStyle w:val="style0"/>
        <w:jc w:val="both"/>
      </w:pPr>
      <w:r>
        <w:rPr/>
      </w:r>
    </w:p>
    <w:p>
      <w:pPr>
        <w:pStyle w:val="style0"/>
        <w:numPr>
          <w:ilvl w:val="0"/>
          <w:numId w:val="1"/>
        </w:numPr>
        <w:jc w:val="both"/>
      </w:pPr>
      <w:r>
        <w:rPr>
          <w:sz w:val="22"/>
          <w:szCs w:val="22"/>
        </w:rPr>
        <w:t xml:space="preserve">Todo contrato debe adjuntar el pago de la seguridad social (salud y pensión), sobre el 40% del valor mensual del contrato siempre y cuando dicho valor sea superior al SMLV ($566.700,oo).  Caso contrario, deberá cotizar sobre el SMLV.    En el caso de persona jurídica, se debe presentar certificado de pago de aportes parafiscales y de seguridad social. </w:t>
      </w:r>
      <w:r>
        <w:rPr>
          <w:sz w:val="16"/>
          <w:b w:val="off"/>
          <w:szCs w:val="16"/>
          <w:bCs w:val="off"/>
        </w:rPr>
        <w:t xml:space="preserve"> </w:t>
      </w:r>
    </w:p>
    <w:p>
      <w:pPr>
        <w:pStyle w:val="style0"/>
        <w:jc w:val="both"/>
      </w:pPr>
      <w:r>
        <w:rPr>
          <w:sz w:val="22"/>
          <w:szCs w:val="22"/>
        </w:rPr>
        <w:t xml:space="preserve"> </w:t>
      </w:r>
    </w:p>
    <w:p>
      <w:pPr>
        <w:pStyle w:val="style0"/>
        <w:numPr>
          <w:ilvl w:val="0"/>
          <w:numId w:val="1"/>
        </w:numPr>
        <w:jc w:val="both"/>
      </w:pPr>
      <w:r>
        <w:rPr>
          <w:sz w:val="22"/>
          <w:szCs w:val="22"/>
        </w:rPr>
        <w:t>Para la contratación de personal y compra o adquisición de bienes o servicios,  la solicitud debe remitirse con el estudio de conveniencia y oportunidad; y/o invitación a cotizar con los soportes correspondientes.  El tiempo  de ejecución contractual puede extenderse máximo hasta el 10 de diciembre de la vigencia actual.   Ver anexo en la Web Institucional.</w:t>
      </w:r>
    </w:p>
    <w:p>
      <w:pPr>
        <w:pStyle w:val="style0"/>
        <w:jc w:val="both"/>
      </w:pPr>
      <w:r>
        <w:rPr>
          <w:color w:val="00000A"/>
          <w:sz w:val="22"/>
          <w:szCs w:val="22"/>
        </w:rPr>
        <w:t xml:space="preserve"> </w:t>
      </w:r>
    </w:p>
    <w:p>
      <w:pPr>
        <w:pStyle w:val="style0"/>
        <w:numPr>
          <w:ilvl w:val="0"/>
          <w:numId w:val="1"/>
        </w:numPr>
        <w:jc w:val="both"/>
      </w:pPr>
      <w:r>
        <w:rPr>
          <w:sz w:val="22"/>
          <w:szCs w:val="22"/>
        </w:rPr>
        <w:t>Las solicitudes de avance se recibirán con cinco (5) días hábiles de antelación al viaje y en el caso de viáticos internacionales, con diez (10) días hábiles de anticipación. Ver anexo  en la Web Institucional.</w:t>
      </w:r>
    </w:p>
    <w:p>
      <w:pPr>
        <w:pStyle w:val="style0"/>
        <w:jc w:val="both"/>
      </w:pPr>
      <w:r>
        <w:rPr/>
      </w:r>
    </w:p>
    <w:p>
      <w:pPr>
        <w:pStyle w:val="style0"/>
        <w:numPr>
          <w:ilvl w:val="0"/>
          <w:numId w:val="1"/>
        </w:numPr>
        <w:jc w:val="both"/>
      </w:pPr>
      <w:r>
        <w:rPr>
          <w:sz w:val="22"/>
          <w:szCs w:val="22"/>
        </w:rPr>
        <w:t>En el caso de convenios y/o contratos, debe remitirse una copia impresa y en medio magnético o electrónico y demás información como informe de avance, técnico, financiero y de liquidación final;  de interventoría, prórrogas, otrosí; actas; en fin, toda la correspondencia que se genere por dicho proyecto o convenio hasta su terminación con el acta de liquidación, debidamente firmada.</w:t>
      </w:r>
    </w:p>
    <w:p>
      <w:pPr>
        <w:pStyle w:val="style0"/>
        <w:jc w:val="both"/>
      </w:pPr>
      <w:r>
        <w:rPr/>
      </w:r>
    </w:p>
    <w:p>
      <w:pPr>
        <w:pStyle w:val="style0"/>
        <w:numPr>
          <w:ilvl w:val="0"/>
          <w:numId w:val="1"/>
        </w:numPr>
        <w:jc w:val="both"/>
      </w:pPr>
      <w:r>
        <w:rPr>
          <w:sz w:val="22"/>
          <w:szCs w:val="22"/>
        </w:rPr>
        <w:t>La iniciación de los proyectos de menor cuantía se realizará a partir del primero de febrero de 2012. Para iniciar la ejecución presupuestal se debe estar a paz y salvo por concepto de entrega de informes de avance, final, publicación de resultados y demás información requerida por ésta Vicerrectoría y explicitada en la la ficha o formato de presentación de proyectos y/o términos de la convocatoria por la cual fueron aprobados los proyectos del 2012.</w:t>
      </w:r>
    </w:p>
    <w:p>
      <w:pPr>
        <w:pStyle w:val="style0"/>
        <w:jc w:val="both"/>
      </w:pPr>
      <w:r>
        <w:rPr/>
      </w:r>
    </w:p>
    <w:p>
      <w:pPr>
        <w:pStyle w:val="style0"/>
        <w:numPr>
          <w:ilvl w:val="0"/>
          <w:numId w:val="1"/>
        </w:numPr>
        <w:jc w:val="both"/>
      </w:pPr>
      <w:r>
        <w:rPr>
          <w:sz w:val="22"/>
          <w:szCs w:val="22"/>
        </w:rPr>
        <w:t>Se recomienda que en la producción intelectual de investigación o proyección social, se precise en el libro o artículo,  el nombre o título del proyecto que genera la publicación, para efectos de seguimiento,  control y paz y salvo.  Igualmente se hace necesario tener en cuenta esta recomendación en la entrega de informes de avance y final.</w:t>
      </w:r>
    </w:p>
    <w:p>
      <w:pPr>
        <w:pStyle w:val="style0"/>
        <w:jc w:val="both"/>
      </w:pPr>
      <w:r>
        <w:rPr/>
      </w:r>
    </w:p>
    <w:p>
      <w:pPr>
        <w:pStyle w:val="style0"/>
        <w:jc w:val="both"/>
      </w:pPr>
      <w:r>
        <w:rPr>
          <w:sz w:val="22"/>
          <w:szCs w:val="22"/>
        </w:rPr>
        <w:t>Cordialmente,</w:t>
      </w:r>
    </w:p>
    <w:p>
      <w:pPr>
        <w:pStyle w:val="style0"/>
        <w:jc w:val="both"/>
      </w:pPr>
      <w:r>
        <w:rPr/>
      </w:r>
    </w:p>
    <w:p>
      <w:pPr>
        <w:pStyle w:val="style0"/>
        <w:jc w:val="both"/>
      </w:pPr>
      <w:r>
        <w:rPr/>
        <w:drawing>
          <wp:inline distB="0" distL="0" distR="0" distT="0">
            <wp:extent cx="3502660" cy="80772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2"/>
                    <a:srcRect/>
                    <a:stretch>
                      <a:fillRect/>
                    </a:stretch>
                  </pic:blipFill>
                  <pic:spPr bwMode="auto">
                    <a:xfrm>
                      <a:off x="0" y="0"/>
                      <a:ext cx="3502660" cy="807720"/>
                    </a:xfrm>
                    <a:prstGeom prst="rect">
                      <a:avLst/>
                    </a:prstGeom>
                    <a:noFill/>
                    <a:ln w="9525">
                      <a:noFill/>
                      <a:miter lim="800000"/>
                      <a:headEnd/>
                      <a:tailEnd/>
                    </a:ln>
                  </pic:spPr>
                </pic:pic>
              </a:graphicData>
            </a:graphic>
          </wp:inline>
        </w:drawing>
      </w:r>
    </w:p>
    <w:p>
      <w:pPr>
        <w:pStyle w:val="style0"/>
        <w:jc w:val="both"/>
      </w:pPr>
      <w:r>
        <w:rPr/>
      </w:r>
    </w:p>
    <w:p>
      <w:pPr>
        <w:pStyle w:val="style0"/>
        <w:jc w:val="both"/>
      </w:pPr>
      <w:r>
        <w:rPr>
          <w:sz w:val="14"/>
          <w:b/>
          <w:szCs w:val="14"/>
        </w:rPr>
        <w:t>Proyectó:  Anao.</w:t>
      </w:r>
    </w:p>
    <w:p>
      <w:pPr>
        <w:pStyle w:val="style0"/>
        <w:jc w:val="both"/>
      </w:pPr>
      <w:r>
        <w:rPr/>
      </w:r>
    </w:p>
    <w:p>
      <w:pPr>
        <w:pStyle w:val="style0"/>
        <w:jc w:val="both"/>
      </w:pPr>
      <w:r>
        <w:rPr/>
      </w:r>
    </w:p>
    <w:p>
      <w:pPr>
        <w:pStyle w:val="style0"/>
        <w:jc w:val="both"/>
      </w:pPr>
      <w:r>
        <w:rPr/>
      </w:r>
    </w:p>
    <w:sectPr>
      <w:formProt w:val="off"/>
      <w:pgSz w:h="18720" w:w="12240"/>
      <w:docGrid w:charSpace="0" w:linePitch="360" w:type="default"/>
      <w:textDirection w:val="lrTb"/>
      <w:pgNumType w:fmt="decimal"/>
      <w:type w:val="nextPage"/>
      <w:pgMar w:bottom="1417" w:left="1701" w:right="1134" w:top="1417"/>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s>
</file>

<file path=word/numbering.xml><?xml version="1.0" encoding="utf-8"?>
<w:numbering xmlns:w="http://schemas.openxmlformats.org/wordprocessingml/2006/main">
  <w:abstractNum w:abstractNumId="1">
    <w:lvl w:ilvl="0">
      <w:start w:val="1"/>
      <w:numFmt w:val="decimal"/>
      <w:lvlJc w:val="left"/>
      <w:lvlText w:val="%1."/>
      <w:pPr>
        <w:ind w:hanging="360" w:left="360"/>
      </w:pPr>
    </w:lvl>
    <w:lvl w:ilvl="1">
      <w:start w:val="1"/>
      <w:numFmt w:val="lowerLetter"/>
      <w:lvlJc w:val="left"/>
      <w:lvlText w:val="%2."/>
      <w:pPr>
        <w:ind w:hanging="360" w:left="1080"/>
      </w:pPr>
    </w:lvl>
    <w:lvl w:ilvl="2">
      <w:start w:val="1"/>
      <w:numFmt w:val="lowerRoman"/>
      <w:lvlJc w:val="right"/>
      <w:lvlText w:val="%2.%3."/>
      <w:pPr>
        <w:ind w:hanging="180" w:left="1800"/>
      </w:pPr>
    </w:lvl>
    <w:lvl w:ilvl="3">
      <w:start w:val="1"/>
      <w:numFmt w:val="decimal"/>
      <w:lvlJc w:val="left"/>
      <w:lvlText w:val="%2.%3.%4."/>
      <w:pPr>
        <w:ind w:hanging="360" w:left="2520"/>
      </w:pPr>
    </w:lvl>
    <w:lvl w:ilvl="4">
      <w:start w:val="1"/>
      <w:numFmt w:val="lowerLetter"/>
      <w:lvlJc w:val="left"/>
      <w:lvlText w:val="%2.%3.%4.%5."/>
      <w:pPr>
        <w:ind w:hanging="360" w:left="3240"/>
      </w:pPr>
    </w:lvl>
    <w:lvl w:ilvl="5">
      <w:start w:val="1"/>
      <w:numFmt w:val="lowerRoman"/>
      <w:lvlJc w:val="right"/>
      <w:lvlText w:val="%2.%3.%4.%5.%6."/>
      <w:pPr>
        <w:ind w:hanging="180" w:left="3960"/>
      </w:pPr>
    </w:lvl>
    <w:lvl w:ilvl="6">
      <w:start w:val="1"/>
      <w:numFmt w:val="decimal"/>
      <w:lvlJc w:val="left"/>
      <w:lvlText w:val="%2.%3.%4.%5.%6.%7."/>
      <w:pPr>
        <w:ind w:hanging="360" w:left="4680"/>
      </w:pPr>
    </w:lvl>
    <w:lvl w:ilvl="7">
      <w:start w:val="1"/>
      <w:numFmt w:val="lowerLetter"/>
      <w:lvlJc w:val="left"/>
      <w:lvlText w:val="%2.%3.%4.%5.%6.%7.%8."/>
      <w:pPr>
        <w:ind w:hanging="360" w:left="5400"/>
      </w:pPr>
    </w:lvl>
    <w:lvl w:ilvl="8">
      <w:start w:val="1"/>
      <w:numFmt w:val="lowerRoman"/>
      <w:lvlJc w:val="right"/>
      <w:lvlText w:val="%2.%3.%4.%5.%6.%7.%8.%9."/>
      <w:pPr>
        <w:ind w:hanging="180" w:left="6120"/>
      </w:pPr>
    </w:lvl>
  </w:abstractNum>
  <w:abstractNum w:abstractNumId="2">
    <w:lvl w:ilvl="0">
      <w:start w:val="1"/>
      <w:numFmt w:val="none"/>
      <w:lvlJc w:val="left"/>
      <w:suff w:val="nothing"/>
      <w:lvlText w:val=""/>
      <w:pPr>
        <w:ind w:hanging="432" w:left="432"/>
      </w:pPr>
    </w:lvl>
    <w:lvl w:ilvl="1">
      <w:start w:val="1"/>
      <w:numFmt w:val="none"/>
      <w:lvlJc w:val="left"/>
      <w:suff w:val="nothing"/>
      <w:lvlText w:val=""/>
      <w:pPr>
        <w:ind w:hanging="576" w:left="576"/>
      </w:pPr>
    </w:lvl>
    <w:lvl w:ilvl="2">
      <w:start w:val="1"/>
      <w:numFmt w:val="none"/>
      <w:lvlJc w:val="left"/>
      <w:suff w:val="nothing"/>
      <w:lvlText w:val=""/>
      <w:pPr>
        <w:ind w:hanging="720" w:left="720"/>
      </w:pPr>
    </w:lvl>
    <w:lvl w:ilvl="3">
      <w:start w:val="1"/>
      <w:numFmt w:val="none"/>
      <w:lvlJc w:val="left"/>
      <w:suff w:val="nothing"/>
      <w:lvlText w:val=""/>
      <w:pPr>
        <w:ind w:hanging="864" w:left="864"/>
      </w:pPr>
    </w:lvl>
    <w:lvl w:ilvl="4">
      <w:start w:val="1"/>
      <w:numFmt w:val="none"/>
      <w:lvlJc w:val="left"/>
      <w:suff w:val="nothing"/>
      <w:lvlText w:val=""/>
      <w:pPr>
        <w:ind w:hanging="1008" w:left="1008"/>
      </w:pPr>
    </w:lvl>
    <w:lvl w:ilvl="5">
      <w:start w:val="1"/>
      <w:numFmt w:val="none"/>
      <w:lvlJc w:val="left"/>
      <w:suff w:val="nothing"/>
      <w:lvlText w:val=""/>
      <w:pPr>
        <w:ind w:hanging="1152" w:left="1152"/>
      </w:pPr>
    </w:lvl>
    <w:lvl w:ilvl="6">
      <w:start w:val="1"/>
      <w:numFmt w:val="none"/>
      <w:lvlJc w:val="left"/>
      <w:suff w:val="nothing"/>
      <w:lvlText w:val=""/>
      <w:pPr>
        <w:ind w:hanging="1296" w:left="1296"/>
      </w:pPr>
    </w:lvl>
    <w:lvl w:ilvl="7">
      <w:start w:val="1"/>
      <w:numFmt w:val="none"/>
      <w:lvlJc w:val="left"/>
      <w:suff w:val="nothing"/>
      <w:lvlText w:val=""/>
      <w:pPr>
        <w:ind w:hanging="1440" w:left="1440"/>
      </w:pPr>
    </w:lvl>
    <w:lvl w:ilvl="8">
      <w:start w:val="1"/>
      <w:numFmt w:val="none"/>
      <w:lvlJc w:val="left"/>
      <w:suff w:val="nothing"/>
      <w:lvlText w:val=""/>
      <w:pPr>
        <w:ind w:hanging="1584" w:left="1584"/>
      </w:pPr>
    </w:lvl>
  </w:abstractNum>
  <w:num w:numId="1">
    <w:abstractNumId w:val="1"/>
  </w:num>
  <w:num w:numId="2">
    <w:abstractNumId w:val="2"/>
  </w:num>
</w:numbering>
</file>

<file path=word/styles.xml><?xml version="1.0" encoding="utf-8"?>
<w:styles xmlns:w="http://schemas.openxmlformats.org/wordprocessingml/2006/main">
  <w:style w:styleId="style0" w:type="paragraph">
    <w:name w:val="Predeterminado"/>
    <w:next w:val="style0"/>
    <w:pPr>
      <w:widowControl/>
      <w:tabs>
        <w:tab w:leader="none" w:pos="708" w:val="left"/>
      </w:tabs>
      <w:suppressAutoHyphens w:val="true"/>
      <w:spacing w:after="0" w:before="0" w:line="100" w:lineRule="atLeast"/>
    </w:pPr>
    <w:rPr>
      <w:color w:val="00000A"/>
      <w:sz w:val="24"/>
      <w:szCs w:val="24"/>
      <w:rFonts w:ascii="Times New Roman" w:cs="Times New Roman" w:eastAsia="Times New Roman" w:hAnsi="Times New Roman"/>
      <w:lang w:bidi="hi-IN" w:eastAsia="es-ES" w:val="es-CO"/>
    </w:rPr>
  </w:style>
  <w:style w:styleId="style15" w:type="character">
    <w:name w:val="Default Paragraph Font"/>
    <w:next w:val="style15"/>
    <w:rPr/>
  </w:style>
  <w:style w:styleId="style16" w:type="character">
    <w:name w:val="Viñetas"/>
    <w:next w:val="style16"/>
    <w:rPr>
      <w:rFonts w:ascii="OpenSymbol" w:cs="OpenSymbol" w:eastAsia="OpenSymbol" w:hAnsi="OpenSymbol"/>
    </w:rPr>
  </w:style>
  <w:style w:styleId="style17" w:type="character">
    <w:name w:val="ListLabel 1"/>
    <w:next w:val="style17"/>
    <w:rPr>
      <w:rFonts w:cs="Wingdings 2"/>
    </w:rPr>
  </w:style>
  <w:style w:styleId="style18" w:type="character">
    <w:name w:val="ListLabel 2"/>
    <w:next w:val="style18"/>
    <w:rPr>
      <w:rFonts w:cs="OpenSymbol"/>
    </w:rPr>
  </w:style>
  <w:style w:styleId="style19" w:type="character">
    <w:name w:val="ListLabel 3"/>
    <w:next w:val="style19"/>
    <w:rPr>
      <w:rFonts w:cs="Wingdings 2"/>
    </w:rPr>
  </w:style>
  <w:style w:styleId="style20" w:type="character">
    <w:name w:val="ListLabel 4"/>
    <w:next w:val="style20"/>
    <w:rPr>
      <w:rFonts w:cs="OpenSymbol"/>
    </w:rPr>
  </w:style>
  <w:style w:styleId="style21" w:type="paragraph">
    <w:name w:val="Encabezado"/>
    <w:basedOn w:val="style0"/>
    <w:next w:val="style22"/>
    <w:pPr>
      <w:keepNext/>
      <w:spacing w:after="120" w:before="240"/>
    </w:pPr>
    <w:rPr>
      <w:sz w:val="28"/>
      <w:szCs w:val="28"/>
      <w:rFonts w:ascii="Arial" w:cs="Mangal" w:eastAsia="Microsoft YaHei" w:hAnsi="Arial"/>
    </w:rPr>
  </w:style>
  <w:style w:styleId="style22" w:type="paragraph">
    <w:name w:val="Cuerpo de texto"/>
    <w:basedOn w:val="style0"/>
    <w:next w:val="style22"/>
    <w:pPr>
      <w:spacing w:after="120" w:before="0"/>
    </w:pPr>
    <w:rPr/>
  </w:style>
  <w:style w:styleId="style23" w:type="paragraph">
    <w:name w:val="Lista"/>
    <w:basedOn w:val="style22"/>
    <w:next w:val="style23"/>
    <w:pPr/>
    <w:rPr>
      <w:rFonts w:cs="Mangal"/>
    </w:rPr>
  </w:style>
  <w:style w:styleId="style24" w:type="paragraph">
    <w:name w:val="Etiqueta"/>
    <w:basedOn w:val="style0"/>
    <w:next w:val="style24"/>
    <w:pPr>
      <w:suppressLineNumbers/>
      <w:spacing w:after="120" w:before="120"/>
    </w:pPr>
    <w:rPr>
      <w:sz w:val="24"/>
      <w:i/>
      <w:szCs w:val="24"/>
      <w:iCs/>
      <w:rFonts w:cs="Mangal"/>
    </w:rPr>
  </w:style>
  <w:style w:styleId="style25" w:type="paragraph">
    <w:name w:val="Índice"/>
    <w:basedOn w:val="style0"/>
    <w:next w:val="style25"/>
    <w:pPr>
      <w:suppressLineNumbers/>
    </w:pPr>
    <w:rPr>
      <w:rFonts w:cs="Mangal"/>
    </w:rPr>
  </w:style>
  <w:style w:styleId="style26" w:type="paragraph">
    <w:name w:val="List Paragraph"/>
    <w:basedOn w:val="style0"/>
    <w:next w:val="style26"/>
    <w:pPr>
      <w:ind w:hanging="0" w:left="720" w:right="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Template>
  <TotalTime>85</TotalTime>
  <Application>LibreOffice/3.3$Win32 LibreOffice_project/330m19$Build-301</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2011-02-15T21:34:00.00Z</dcterms:created>
  <dc:creator>Juan Jose</dc:creator>
  <cp:lastModifiedBy>Juan Jose</cp:lastModifiedBy>
  <cp:lastPrinted>2012-01-24T14:49:22.37Z</cp:lastPrinted>
  <dcterms:modified xsi:type="dcterms:W3CDTF">2011-02-16T15:37:00.00Z</dcterms:modified>
  <cp:revision>60</cp:revision>
</cp:coreProperties>
</file>